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Tabel-Gitter"/>
        <w:tblW w:w="1573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985"/>
        <w:gridCol w:w="1983"/>
        <w:gridCol w:w="1702"/>
        <w:gridCol w:w="1837"/>
        <w:gridCol w:w="1987"/>
        <w:gridCol w:w="2125"/>
        <w:gridCol w:w="1985"/>
        <w:gridCol w:w="2124"/>
      </w:tblGrid>
      <w:tr>
        <w:trPr/>
        <w:tc>
          <w:tcPr>
            <w:tcW w:w="198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Intro RHE niveau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??</w:t>
            </w:r>
          </w:p>
        </w:tc>
        <w:tc>
          <w:tcPr>
            <w:tcW w:w="19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Intro til medicinsk afd.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Generel infektions-hygiejne</w:t>
            </w:r>
          </w:p>
        </w:tc>
        <w:tc>
          <w:tcPr>
            <w:tcW w:w="1837" w:type="dxa"/>
            <w:tcBorders/>
          </w:tcPr>
          <w:p>
            <w:pPr>
              <w:pStyle w:val="Overskrift2"/>
              <w:widowControl w:val="false"/>
              <w:numPr>
                <w:ilvl w:val="0"/>
                <w:numId w:val="0"/>
              </w:numPr>
              <w:spacing w:before="40" w:after="0"/>
              <w:ind w:left="0" w:hanging="0"/>
              <w:rPr>
                <w:b/>
                <w:b/>
                <w:sz w:val="24"/>
                <w:szCs w:val="24"/>
              </w:rPr>
            </w:pPr>
            <w:r>
              <w:rPr>
                <w:b/>
                <w:kern w:val="0"/>
                <w:sz w:val="24"/>
                <w:szCs w:val="24"/>
                <w:lang w:val="da-DK" w:eastAsia="en-US" w:bidi="ar-SA"/>
              </w:rPr>
              <w:t>Outreach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4 timer</w:t>
            </w:r>
          </w:p>
        </w:tc>
        <w:tc>
          <w:tcPr>
            <w:tcW w:w="1987" w:type="dxa"/>
            <w:tcBorders/>
          </w:tcPr>
          <w:p>
            <w:pPr>
              <w:pStyle w:val="BodyText2"/>
              <w:widowControl w:val="false"/>
              <w:suppressAutoHyphens w:val="true"/>
              <w:spacing w:before="0" w:after="0"/>
              <w:rPr>
                <w:rFonts w:ascii="Verdana" w:hAnsi="Verdana" w:eastAsia="Calibri"/>
                <w:kern w:val="0"/>
                <w:lang w:val="da-DK" w:eastAsia="en-US" w:bidi="ar-SA"/>
              </w:rPr>
            </w:pPr>
            <w:r>
              <w:rPr>
                <w:rFonts w:eastAsia="Calibri"/>
                <w:kern w:val="0"/>
                <w:lang w:val="da-DK" w:eastAsia="en-US" w:bidi="ar-SA"/>
              </w:rPr>
              <w:t>Blodsukker-måling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18"/>
                <w:szCs w:val="18"/>
                <w:lang w:val="da-DK" w:eastAsia="en-US" w:bidi="ar-SA"/>
              </w:rPr>
              <w:t>med</w:t>
            </w: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 xml:space="preserve"> </w:t>
            </w:r>
            <w:r>
              <w:rPr>
                <w:rFonts w:eastAsia="Calibri" w:cs="Times New Roman"/>
                <w:b/>
                <w:kern w:val="0"/>
                <w:sz w:val="18"/>
                <w:szCs w:val="18"/>
                <w:lang w:val="da-DK" w:eastAsia="en-US" w:bidi="ar-SA"/>
              </w:rPr>
              <w:t>Accucheck Inform II</w:t>
            </w:r>
          </w:p>
        </w:tc>
        <w:tc>
          <w:tcPr>
            <w:tcW w:w="212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Mad- og måltidskurser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18"/>
                <w:szCs w:val="18"/>
              </w:rPr>
            </w:pPr>
            <w:r>
              <w:rPr>
                <w:rFonts w:eastAsia="Calibri"/>
                <w:b/>
                <w:color w:val="222222"/>
                <w:kern w:val="0"/>
                <w:sz w:val="18"/>
                <w:szCs w:val="18"/>
                <w:shd w:fill="FFFFFF" w:val="clear"/>
                <w:lang w:val="da-DK" w:eastAsia="en-US" w:bidi="ar-SA"/>
              </w:rPr>
              <w:t>Introduktion til at arbejde med mad til syge og ernærings-behandling</w:t>
            </w:r>
          </w:p>
        </w:tc>
        <w:tc>
          <w:tcPr>
            <w:tcW w:w="198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Medicin kursus</w:t>
            </w:r>
          </w:p>
        </w:tc>
        <w:tc>
          <w:tcPr>
            <w:tcW w:w="21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24"/>
                <w:szCs w:val="24"/>
              </w:rPr>
            </w:pPr>
            <w:r>
              <w:rPr>
                <w:rFonts w:eastAsia="Calibri" w:cs="Times New Roman"/>
                <w:b/>
                <w:kern w:val="0"/>
                <w:sz w:val="24"/>
                <w:szCs w:val="24"/>
                <w:lang w:val="da-DK" w:eastAsia="en-US" w:bidi="ar-SA"/>
              </w:rPr>
              <w:t>Eksistens-laboratorium</w:t>
            </w:r>
          </w:p>
        </w:tc>
      </w:tr>
      <w:tr>
        <w:trPr/>
        <w:tc>
          <w:tcPr>
            <w:tcW w:w="198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Efter 1. måned</w:t>
            </w:r>
          </w:p>
        </w:tc>
        <w:tc>
          <w:tcPr>
            <w:tcW w:w="19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Efter mindst 1 måned i afsnittet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Efter mindst 1 måned i afsnittet</w:t>
            </w:r>
          </w:p>
        </w:tc>
        <w:tc>
          <w:tcPr>
            <w:tcW w:w="1837" w:type="dxa"/>
            <w:tcBorders/>
          </w:tcPr>
          <w:p>
            <w:pPr>
              <w:pStyle w:val="Overskrift2"/>
              <w:widowControl w:val="false"/>
              <w:numPr>
                <w:ilvl w:val="0"/>
                <w:numId w:val="0"/>
              </w:numPr>
              <w:spacing w:before="40" w:after="0"/>
              <w:ind w:left="0" w:hanging="0"/>
              <w:rPr>
                <w:rFonts w:ascii="Verdana" w:hAnsi="Verdana"/>
                <w:kern w:val="0"/>
                <w:lang w:val="da-DK" w:eastAsia="en-US" w:bidi="ar-SA"/>
              </w:rPr>
            </w:pPr>
            <w:r>
              <w:rPr>
                <w:kern w:val="0"/>
                <w:lang w:val="da-DK" w:eastAsia="en-US" w:bidi="ar-SA"/>
              </w:rPr>
              <w:t>Efter mindst 1 måned i afsnittet</w:t>
            </w:r>
          </w:p>
        </w:tc>
        <w:tc>
          <w:tcPr>
            <w:tcW w:w="198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1.  måned</w:t>
            </w:r>
          </w:p>
        </w:tc>
        <w:tc>
          <w:tcPr>
            <w:tcW w:w="212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1. måned</w:t>
            </w:r>
          </w:p>
        </w:tc>
        <w:tc>
          <w:tcPr>
            <w:tcW w:w="198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1. måned</w:t>
            </w:r>
          </w:p>
        </w:tc>
        <w:tc>
          <w:tcPr>
            <w:tcW w:w="21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1. år</w:t>
            </w:r>
          </w:p>
        </w:tc>
      </w:tr>
      <w:tr>
        <w:trPr/>
        <w:tc>
          <w:tcPr>
            <w:tcW w:w="198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cs="Times New Roman"/>
                <w:b/>
                <w:color w:val="C00000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8.00 - 14.30</w:t>
            </w:r>
          </w:p>
        </w:tc>
        <w:tc>
          <w:tcPr>
            <w:tcW w:w="19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cs="Times New Roman"/>
                <w:b/>
                <w:color w:val="C00000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bCs/>
                <w:color w:val="C00000"/>
                <w:kern w:val="0"/>
                <w:sz w:val="18"/>
                <w:szCs w:val="18"/>
                <w:lang w:val="da-DK" w:eastAsia="en-US" w:bidi="ar-SA"/>
              </w:rPr>
              <w:t>8.00-15.00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cs="Times New Roman"/>
                <w:b/>
                <w:color w:val="C00000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13-14.30</w:t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7-11 eller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11.30-15.30</w:t>
            </w:r>
          </w:p>
        </w:tc>
        <w:tc>
          <w:tcPr>
            <w:tcW w:w="198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cs="Times New Roman"/>
                <w:b/>
                <w:color w:val="C00000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13.00-14.00</w:t>
            </w:r>
          </w:p>
        </w:tc>
        <w:tc>
          <w:tcPr>
            <w:tcW w:w="212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cs="Times New Roman"/>
                <w:b/>
                <w:color w:val="C00000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13.30-15.00</w:t>
            </w:r>
          </w:p>
        </w:tc>
        <w:tc>
          <w:tcPr>
            <w:tcW w:w="198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cs="Times New Roman"/>
                <w:b/>
                <w:color w:val="C00000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8.00-12.00</w:t>
            </w:r>
          </w:p>
        </w:tc>
        <w:tc>
          <w:tcPr>
            <w:tcW w:w="21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4 gange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cs="Times New Roman"/>
                <w:b/>
                <w:b/>
                <w:color w:val="C00000"/>
                <w:sz w:val="18"/>
                <w:szCs w:val="18"/>
              </w:rPr>
            </w:pPr>
            <w:r>
              <w:rPr>
                <w:rFonts w:eastAsia="Calibri" w:cs="Times New Roman"/>
                <w:b/>
                <w:color w:val="C00000"/>
                <w:kern w:val="0"/>
                <w:sz w:val="18"/>
                <w:szCs w:val="18"/>
                <w:lang w:val="da-DK" w:eastAsia="en-US" w:bidi="ar-SA"/>
              </w:rPr>
              <w:t>fra 13-15</w:t>
            </w:r>
          </w:p>
        </w:tc>
      </w:tr>
      <w:tr>
        <w:trPr/>
        <w:tc>
          <w:tcPr>
            <w:tcW w:w="198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Intro ved hospitalsledelsen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Hovedsamarbejdsudvalget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Kvalitet, patientsikkerhed og forebyggelse; hygiejne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Din rolle ved brand og beredskab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Dokumentation og patientjournal, datasikkerhed, adfærd og medansvar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BalloonText"/>
              <w:widowControl w:val="false"/>
              <w:suppressAutoHyphens w:val="true"/>
              <w:spacing w:before="0" w:after="0"/>
              <w:jc w:val="left"/>
              <w:rPr>
                <w:rFonts w:ascii="Verdana" w:hAnsi="Verdana" w:cs="Times New Roman"/>
              </w:rPr>
            </w:pPr>
            <w:r>
              <w:rPr>
                <w:rFonts w:eastAsia="Calibri" w:cs="Times New Roman" w:ascii="Verdana" w:hAnsi="Verdana"/>
                <w:kern w:val="0"/>
                <w:lang w:val="da-DK" w:eastAsia="en-US" w:bidi="ar-SA"/>
              </w:rPr>
              <w:t>Om Regionshopspitalet Gødstrup - patientens hospital</w:t>
            </w:r>
          </w:p>
        </w:tc>
        <w:tc>
          <w:tcPr>
            <w:tcW w:w="198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Velkomst ved forsknings-ansvarlig spl. Ingrid Villadsen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Kvalitet og patientsikkerhed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Sundhedsaftaler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Anvendelse af EPJ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Patient-inddragelse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Den gode udskrivelse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BalloonText"/>
              <w:widowControl w:val="false"/>
              <w:suppressAutoHyphens w:val="true"/>
              <w:spacing w:before="0" w:after="0"/>
              <w:jc w:val="left"/>
              <w:rPr>
                <w:rFonts w:ascii="Verdana" w:hAnsi="Verdana" w:cs="Times New Roman"/>
              </w:rPr>
            </w:pPr>
            <w:r>
              <w:rPr>
                <w:rFonts w:eastAsia="Calibri" w:cs="Times New Roman" w:ascii="Verdana" w:hAnsi="Verdana"/>
                <w:kern w:val="0"/>
                <w:lang w:val="da-DK" w:eastAsia="en-US" w:bidi="ar-SA"/>
              </w:rPr>
              <w:t>At være ny</w:t>
            </w:r>
          </w:p>
        </w:tc>
        <w:tc>
          <w:tcPr>
            <w:tcW w:w="1702" w:type="dxa"/>
            <w:tcBorders/>
          </w:tcPr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De generelle infektionshygiejniske retningslinjer ved hygiejnespl.</w:t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ABCDE undervisning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360" w:hanging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Sepsis undervisning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360" w:hanging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2-3 cases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left="360" w:hanging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DefinitionTerm"/>
              <w:widowControl w:val="false"/>
              <w:spacing w:before="0" w:after="0"/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</w:r>
          </w:p>
        </w:tc>
        <w:tc>
          <w:tcPr>
            <w:tcW w:w="1987" w:type="dxa"/>
            <w:tcBorders/>
          </w:tcPr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Undervisning i blodsukker og urinstix måling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ind w:left="360" w:hanging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eastAsia="Calibri" w:cs="Times New Roman"/>
                <w:kern w:val="0"/>
                <w:sz w:val="18"/>
                <w:szCs w:val="18"/>
                <w:lang w:val="da-DK" w:eastAsia="en-US" w:bidi="ar-SA"/>
              </w:rPr>
              <w:t>Afsluttende test</w:t>
            </w:r>
          </w:p>
        </w:tc>
        <w:tc>
          <w:tcPr>
            <w:tcW w:w="2125" w:type="dxa"/>
            <w:tcBorders/>
          </w:tcPr>
          <w:p>
            <w:pPr>
              <w:pStyle w:val="Brdtekst"/>
              <w:widowControl w:val="false"/>
              <w:suppressAutoHyphens w:val="true"/>
              <w:spacing w:before="0" w:after="280"/>
              <w:jc w:val="left"/>
              <w:rPr>
                <w:rFonts w:ascii="Verdana" w:hAnsi="Verdana"/>
                <w:kern w:val="0"/>
                <w:lang w:val="da-DK" w:bidi="ar-SA"/>
              </w:rPr>
            </w:pPr>
            <w:r>
              <w:rPr>
                <w:kern w:val="0"/>
                <w:lang w:val="da-DK" w:bidi="ar-SA"/>
              </w:rPr>
              <w:t>Kurset giver en grundig gennemgang af Konceptet for Klinisk Ernæring, Mad og Måltider, hvor der vil blive undervist i:</w:t>
            </w:r>
          </w:p>
          <w:p>
            <w:pPr>
              <w:pStyle w:val="Brdtekst"/>
              <w:widowControl w:val="false"/>
              <w:suppressAutoHyphens w:val="true"/>
              <w:spacing w:before="280" w:after="280"/>
              <w:jc w:val="left"/>
              <w:rPr>
                <w:rFonts w:ascii="Verdana" w:hAnsi="Verdana"/>
                <w:kern w:val="0"/>
                <w:lang w:val="da-DK" w:bidi="ar-SA"/>
              </w:rPr>
            </w:pPr>
            <w:r>
              <w:rPr>
                <w:kern w:val="0"/>
                <w:lang w:val="da-DK" w:bidi="ar-SA"/>
              </w:rPr>
              <w:t>De grundlæggende ernæringsmæssige udfordringer for syge</w:t>
            </w:r>
          </w:p>
          <w:p>
            <w:pPr>
              <w:pStyle w:val="Brdtekst"/>
              <w:widowControl w:val="false"/>
              <w:suppressAutoHyphens w:val="true"/>
              <w:spacing w:before="280" w:after="280"/>
              <w:jc w:val="left"/>
              <w:rPr>
                <w:rFonts w:ascii="Verdana" w:hAnsi="Verdana"/>
                <w:kern w:val="0"/>
                <w:lang w:val="da-DK" w:bidi="ar-SA"/>
              </w:rPr>
            </w:pPr>
            <w:r>
              <w:rPr>
                <w:kern w:val="0"/>
                <w:lang w:val="da-DK" w:bidi="ar-SA"/>
              </w:rPr>
              <w:t>De kliniske diætisters arbejde</w:t>
            </w:r>
          </w:p>
          <w:p>
            <w:pPr>
              <w:pStyle w:val="Brdtekst"/>
              <w:widowControl w:val="false"/>
              <w:suppressAutoHyphens w:val="true"/>
              <w:spacing w:before="280" w:after="280"/>
              <w:jc w:val="left"/>
              <w:rPr>
                <w:rFonts w:ascii="Verdana" w:hAnsi="Verdana"/>
                <w:kern w:val="0"/>
                <w:lang w:val="da-DK" w:bidi="ar-SA"/>
              </w:rPr>
            </w:pPr>
            <w:r>
              <w:rPr>
                <w:kern w:val="0"/>
                <w:lang w:val="da-DK" w:bidi="ar-SA"/>
              </w:rPr>
              <w:t>Principperne for mad og måltider til indlagte patienter.</w:t>
            </w:r>
          </w:p>
          <w:p>
            <w:pPr>
              <w:pStyle w:val="Brdtekst"/>
              <w:widowControl w:val="false"/>
              <w:suppressAutoHyphens w:val="true"/>
              <w:spacing w:before="280" w:after="280"/>
              <w:jc w:val="left"/>
              <w:rPr>
                <w:rFonts w:ascii="Verdana" w:hAnsi="Verdana"/>
                <w:kern w:val="0"/>
                <w:lang w:val="da-DK" w:bidi="ar-SA"/>
              </w:rPr>
            </w:pPr>
            <w:r>
              <w:rPr>
                <w:kern w:val="0"/>
                <w:lang w:val="da-DK" w:bidi="ar-SA"/>
              </w:rPr>
              <w:t>Kostformer og diæter</w:t>
            </w:r>
          </w:p>
          <w:p>
            <w:pPr>
              <w:pStyle w:val="Brdtekst"/>
              <w:widowControl w:val="false"/>
              <w:suppressAutoHyphens w:val="true"/>
              <w:spacing w:before="280" w:after="280"/>
              <w:jc w:val="left"/>
              <w:rPr>
                <w:rFonts w:ascii="Verdana" w:hAnsi="Verdana"/>
                <w:kern w:val="0"/>
                <w:lang w:val="da-DK" w:bidi="ar-SA"/>
              </w:rPr>
            </w:pPr>
            <w:r>
              <w:rPr>
                <w:kern w:val="0"/>
                <w:lang w:val="da-DK" w:bidi="ar-SA"/>
              </w:rPr>
              <w:t>Tilsyn og henvisning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1985" w:type="dxa"/>
            <w:tcBorders/>
          </w:tcPr>
          <w:p>
            <w:pPr>
              <w:pStyle w:val="Brdtekst"/>
              <w:widowControl w:val="false"/>
              <w:suppressAutoHyphens w:val="true"/>
              <w:spacing w:before="0" w:after="280"/>
              <w:jc w:val="left"/>
              <w:rPr>
                <w:rFonts w:ascii="Verdana" w:hAnsi="Verdana"/>
                <w:kern w:val="0"/>
                <w:lang w:val="da-DK" w:bidi="ar-SA"/>
              </w:rPr>
            </w:pPr>
            <w:r>
              <w:rPr>
                <w:kern w:val="0"/>
                <w:lang w:val="da-DK" w:bidi="ar-SA"/>
              </w:rPr>
              <w:t>Indretning af medicinrum (ATC-koder, standardsortimenter mv.) i VR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Autospacing="1" w:afterAutospacing="1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val="da-DK" w:eastAsia="da-DK" w:bidi="ar-SA"/>
              </w:rPr>
              <w:t>Optræk af IV-medicin fra ampul og hætteglas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Autospacing="1" w:afterAutospacing="1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val="da-DK" w:eastAsia="da-DK" w:bidi="ar-SA"/>
              </w:rPr>
              <w:t>Rengøring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Autospacing="1" w:afterAutospacing="1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val="da-DK" w:eastAsia="da-DK" w:bidi="ar-SA"/>
              </w:rPr>
              <w:t>Medicinservice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Autospacing="1" w:afterAutospacing="1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val="da-DK" w:eastAsia="da-DK" w:bidi="ar-SA"/>
              </w:rPr>
              <w:t>Praktisk (kort om lægemiddelformer og opslagsværker)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Autospacing="1" w:afterAutospacing="1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color w:val="000000"/>
                <w:kern w:val="0"/>
                <w:sz w:val="18"/>
                <w:szCs w:val="18"/>
                <w:lang w:val="da-DK" w:eastAsia="da-DK" w:bidi="ar-SA"/>
              </w:rPr>
              <w:t>Utilsigtede hændelser (hvilke hændelser ser vi?)</w:t>
            </w:r>
          </w:p>
          <w:p>
            <w:pPr>
              <w:pStyle w:val="NoSpacing"/>
              <w:widowControl w:val="false"/>
              <w:suppressAutoHyphens w:val="true"/>
              <w:spacing w:before="0" w:after="0"/>
              <w:ind w:left="360" w:hanging="0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</w:r>
          </w:p>
        </w:tc>
        <w:tc>
          <w:tcPr>
            <w:tcW w:w="212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Times New Roman" w:cs="Times New Roman"/>
                <w:bCs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>Modul 1</w:t>
            </w:r>
            <w:r>
              <w:rPr>
                <w:rFonts w:eastAsia="Times New Roman" w:cs="Times New Roman"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>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Times New Roman" w:cs="Times New Roman"/>
                <w:bCs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>Den svære samtale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Times New Roman" w:cs="Times New Roman"/>
                <w:b/>
                <w:b/>
                <w:bCs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>Modul 2: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Times New Roman" w:cs="Times New Roman"/>
                <w:bCs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>De eksistentielle grundvilkår: ensomhed, meningsløshed, frihed og død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Autospacing="1" w:afterAutospacing="1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>Modul 3:</w:t>
            </w:r>
            <w:r>
              <w:rPr>
                <w:rFonts w:eastAsia="Times New Roman" w:cs="Times New Roman"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 xml:space="preserve">  Tosporsmodellen for sorg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Autospacing="1" w:after="0"/>
              <w:jc w:val="left"/>
              <w:rPr>
                <w:rFonts w:eastAsia="Times New Roman" w:cs="Times New Roman"/>
                <w:color w:val="000000"/>
                <w:sz w:val="18"/>
                <w:szCs w:val="18"/>
                <w:lang w:eastAsia="da-DK"/>
              </w:rPr>
            </w:pPr>
            <w:r>
              <w:rPr>
                <w:rFonts w:eastAsia="Times New Roman" w:cs="Times New Roman"/>
                <w:b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>Modul 4:</w:t>
            </w:r>
            <w:r>
              <w:rPr>
                <w:rFonts w:eastAsia="Times New Roman" w:cs="Times New Roman"/>
                <w:bCs/>
                <w:color w:val="000000"/>
                <w:kern w:val="0"/>
                <w:sz w:val="18"/>
                <w:szCs w:val="18"/>
                <w:lang w:val="da-DK" w:eastAsia="da-DK" w:bidi="ar-SA"/>
              </w:rPr>
              <w:t xml:space="preserve"> Medfølelsens pris</w:t>
            </w:r>
          </w:p>
        </w:tc>
      </w:tr>
    </w:tbl>
    <w:p>
      <w:pPr>
        <w:pStyle w:val="NoSpacing"/>
        <w:tabs>
          <w:tab w:val="clear" w:pos="1304"/>
          <w:tab w:val="left" w:pos="13476" w:leader="none"/>
        </w:tabs>
        <w:spacing w:lineRule="auto" w:line="259"/>
        <w:rPr/>
      </w:pPr>
      <w:r>
        <w:rPr/>
      </w:r>
    </w:p>
    <w:p>
      <w:pPr>
        <w:pStyle w:val="NoSpacing"/>
        <w:tabs>
          <w:tab w:val="clear" w:pos="1304"/>
          <w:tab w:val="left" w:pos="13476" w:leader="none"/>
        </w:tabs>
        <w:spacing w:lineRule="auto" w:line="259"/>
        <w:rPr>
          <w:sz w:val="20"/>
          <w:szCs w:val="20"/>
          <w:lang w:eastAsia="en-US"/>
        </w:rPr>
      </w:pPr>
      <w:r>
        <w:rPr/>
      </w:r>
      <w:bookmarkStart w:id="0" w:name="_GoBack"/>
      <w:bookmarkStart w:id="1" w:name="_GoBack"/>
      <w:bookmarkEnd w:id="1"/>
    </w:p>
    <w:sectPr>
      <w:headerReference w:type="default" r:id="rId2"/>
      <w:footerReference w:type="default" r:id="rId3"/>
      <w:type w:val="nextPage"/>
      <w:pgSz w:orient="landscape" w:w="16838" w:h="11906"/>
      <w:pgMar w:left="567" w:right="567" w:gutter="0" w:header="709" w:top="766" w:footer="709" w:bottom="766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1"/>
    <w:family w:val="swiss"/>
    <w:pitch w:val="default"/>
  </w:font>
  <w:font w:name="Segoe UI">
    <w:charset w:val="01"/>
    <w:family w:val="swiss"/>
    <w:pitch w:val="default"/>
  </w:font>
  <w:font w:name="Times New Roman">
    <w:charset w:val="01"/>
    <w:family w:val="swiss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idefod"/>
      <w:jc w:val="right"/>
      <w:rPr/>
    </w:pPr>
    <w:r>
      <w:rPr/>
      <w:t>Rev. maj 2023/UK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idehoved"/>
      <w:jc w:val="center"/>
      <w:rPr>
        <w:b/>
        <w:b/>
        <w:sz w:val="32"/>
        <w:szCs w:val="32"/>
      </w:rPr>
    </w:pPr>
    <w:r>
      <w:rPr>
        <w:b/>
        <w:sz w:val="32"/>
        <w:szCs w:val="32"/>
      </w:rPr>
      <w:t>Fælles introduktion</w:t>
    </w:r>
  </w:p>
  <w:p>
    <w:pPr>
      <w:pStyle w:val="Sidehoved"/>
      <w:jc w:val="center"/>
      <w:rPr>
        <w:b/>
        <w:b/>
        <w:sz w:val="32"/>
        <w:szCs w:val="32"/>
      </w:rPr>
    </w:pPr>
    <w:r>
      <w:rPr>
        <w:b/>
        <w:sz w:val="32"/>
        <w:szCs w:val="32"/>
      </w:rPr>
    </w:r>
  </w:p>
</w:hdr>
</file>

<file path=word/settings.xml><?xml version="1.0" encoding="utf-8"?>
<w:settings xmlns:w="http://schemas.openxmlformats.org/wordprocessingml/2006/main">
  <w:zoom w:percent="60"/>
  <w:defaultTabStop w:val="1304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Verdana" w:hAnsi="Verdana" w:eastAsia="Calibri" w:cs="" w:cstheme="minorBidi" w:eastAsiaTheme="minorHAnsi"/>
        <w:lang w:val="da-DK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semiHidden="1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semiHidden="1" w:unhideWhenUsed="1" w:qFormat="1"/>
    <w:lsdException w:name="Subtle Reference" w:uiPriority="31" w:qFormat="1"/>
    <w:lsdException w:name="Intense Reference" w:uiPriority="32" w:semiHidden="1" w:unhideWhenUsed="1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f64a3"/>
    <w:pPr>
      <w:widowControl/>
      <w:suppressAutoHyphens w:val="true"/>
      <w:bidi w:val="0"/>
      <w:spacing w:lineRule="auto" w:line="259" w:before="0" w:after="0"/>
      <w:jc w:val="left"/>
    </w:pPr>
    <w:rPr>
      <w:rFonts w:ascii="Verdana" w:hAnsi="Verdana" w:eastAsia="Calibri" w:cs="" w:cstheme="minorBidi" w:eastAsiaTheme="minorHAnsi"/>
      <w:color w:val="auto"/>
      <w:kern w:val="0"/>
      <w:sz w:val="20"/>
      <w:szCs w:val="20"/>
      <w:lang w:val="da-DK" w:eastAsia="en-US" w:bidi="ar-SA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f222d"/>
    <w:pPr>
      <w:keepNext w:val="true"/>
      <w:keepLines/>
      <w:spacing w:before="240" w:after="0"/>
      <w:outlineLvl w:val="0"/>
    </w:pPr>
    <w:rPr>
      <w:rFonts w:eastAsia="" w:cs="" w:cstheme="majorBidi" w:eastAsiaTheme="majorEastAsia"/>
      <w:sz w:val="28"/>
      <w:szCs w:val="32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5d6822"/>
    <w:pPr>
      <w:keepNext w:val="true"/>
      <w:keepLines/>
      <w:suppressAutoHyphens w:val="true"/>
      <w:spacing w:lineRule="auto" w:line="240" w:before="40" w:after="0"/>
      <w:jc w:val="center"/>
      <w:outlineLvl w:val="1"/>
    </w:pPr>
    <w:rPr>
      <w:rFonts w:eastAsia="" w:cs="Times New Roman" w:eastAsiaTheme="majorEastAsia"/>
      <w:sz w:val="18"/>
      <w:szCs w:val="18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f222d"/>
    <w:pPr>
      <w:keepNext w:val="true"/>
      <w:keepLines/>
      <w:spacing w:before="40" w:after="0"/>
      <w:outlineLvl w:val="2"/>
    </w:pPr>
    <w:rPr>
      <w:rFonts w:eastAsia="" w:cs="" w:cstheme="majorBidi" w:eastAsiaTheme="majorEastAsia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5f222d"/>
    <w:pPr>
      <w:keepNext w:val="true"/>
      <w:keepLines/>
      <w:spacing w:before="40" w:after="0"/>
      <w:outlineLvl w:val="3"/>
    </w:pPr>
    <w:rPr>
      <w:rFonts w:eastAsia="" w:cs="" w:cstheme="majorBidi" w:eastAsiaTheme="majorEastAsia"/>
      <w:i/>
      <w:iCs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f222d"/>
    <w:pPr>
      <w:keepNext w:val="true"/>
      <w:keepLines/>
      <w:spacing w:before="40" w:after="0"/>
      <w:outlineLvl w:val="4"/>
    </w:pPr>
    <w:rPr>
      <w:rFonts w:eastAsia="" w:cs="" w:cstheme="majorBidi" w:eastAsiaTheme="majorEastAsi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Overskrift1Tegn" w:customStyle="1">
    <w:name w:val="Overskrift 1 Tegn"/>
    <w:basedOn w:val="DefaultParagraphFont"/>
    <w:link w:val="Overskrift1"/>
    <w:uiPriority w:val="9"/>
    <w:qFormat/>
    <w:rsid w:val="005f222d"/>
    <w:rPr>
      <w:rFonts w:eastAsia="" w:cs="" w:cstheme="majorBidi" w:eastAsiaTheme="majorEastAsia"/>
      <w:sz w:val="28"/>
      <w:szCs w:val="32"/>
    </w:rPr>
  </w:style>
  <w:style w:type="character" w:styleId="Overskrift2Tegn" w:customStyle="1">
    <w:name w:val="Overskrift 2 Tegn"/>
    <w:basedOn w:val="DefaultParagraphFont"/>
    <w:link w:val="Overskrift2"/>
    <w:uiPriority w:val="9"/>
    <w:qFormat/>
    <w:rsid w:val="005d6822"/>
    <w:rPr>
      <w:rFonts w:eastAsia="" w:cs="Times New Roman" w:eastAsiaTheme="majorEastAsia"/>
      <w:sz w:val="18"/>
      <w:szCs w:val="18"/>
    </w:rPr>
  </w:style>
  <w:style w:type="character" w:styleId="Overskrift3Tegn" w:customStyle="1">
    <w:name w:val="Overskrift 3 Tegn"/>
    <w:basedOn w:val="DefaultParagraphFont"/>
    <w:link w:val="Overskrift3"/>
    <w:uiPriority w:val="9"/>
    <w:qFormat/>
    <w:rsid w:val="005f222d"/>
    <w:rPr>
      <w:rFonts w:eastAsia="" w:cs="" w:cstheme="majorBidi" w:eastAsiaTheme="majorEastAsia"/>
      <w:szCs w:val="24"/>
    </w:rPr>
  </w:style>
  <w:style w:type="character" w:styleId="Overskrift4Tegn" w:customStyle="1">
    <w:name w:val="Overskrift 4 Tegn"/>
    <w:basedOn w:val="DefaultParagraphFont"/>
    <w:link w:val="Overskrift4"/>
    <w:uiPriority w:val="9"/>
    <w:qFormat/>
    <w:rsid w:val="005f222d"/>
    <w:rPr>
      <w:rFonts w:eastAsia="" w:cs="" w:cstheme="majorBidi" w:eastAsiaTheme="majorEastAsia"/>
      <w:i/>
      <w:iCs/>
    </w:rPr>
  </w:style>
  <w:style w:type="character" w:styleId="Overskrift5Tegn" w:customStyle="1">
    <w:name w:val="Overskrift 5 Tegn"/>
    <w:basedOn w:val="DefaultParagraphFont"/>
    <w:link w:val="Overskrift5"/>
    <w:uiPriority w:val="9"/>
    <w:semiHidden/>
    <w:qFormat/>
    <w:rsid w:val="005f222d"/>
    <w:rPr>
      <w:rFonts w:eastAsia="" w:cs="" w:cstheme="majorBidi" w:eastAsiaTheme="majorEastAsia"/>
    </w:rPr>
  </w:style>
  <w:style w:type="character" w:styleId="SidehovedTegn" w:customStyle="1">
    <w:name w:val="Sidehoved Tegn"/>
    <w:basedOn w:val="DefaultParagraphFont"/>
    <w:link w:val="Sidehoved"/>
    <w:uiPriority w:val="99"/>
    <w:qFormat/>
    <w:rsid w:val="00bf6ad2"/>
    <w:rPr/>
  </w:style>
  <w:style w:type="character" w:styleId="SidefodTegn" w:customStyle="1">
    <w:name w:val="Sidefod Tegn"/>
    <w:basedOn w:val="DefaultParagraphFont"/>
    <w:link w:val="Sidefod"/>
    <w:uiPriority w:val="99"/>
    <w:qFormat/>
    <w:rsid w:val="00bf6ad2"/>
    <w:rPr/>
  </w:style>
  <w:style w:type="character" w:styleId="MarkeringsbobletekstTegn" w:customStyle="1">
    <w:name w:val="Markeringsbobletekst Tegn"/>
    <w:basedOn w:val="DefaultParagraphFont"/>
    <w:link w:val="Markeringsbobletekst"/>
    <w:uiPriority w:val="99"/>
    <w:qFormat/>
    <w:rsid w:val="006617dd"/>
    <w:rPr>
      <w:rFonts w:ascii="Segoe UI" w:hAnsi="Segoe UI" w:cs="Segoe UI"/>
      <w:sz w:val="18"/>
      <w:szCs w:val="18"/>
    </w:rPr>
  </w:style>
  <w:style w:type="character" w:styleId="BrdtekstTegn" w:customStyle="1">
    <w:name w:val="Brødtekst Tegn"/>
    <w:basedOn w:val="DefaultParagraphFont"/>
    <w:link w:val="Brdtekst"/>
    <w:uiPriority w:val="99"/>
    <w:qFormat/>
    <w:rsid w:val="00d37a3c"/>
    <w:rPr>
      <w:rFonts w:eastAsia="Times New Roman" w:cs="Times New Roman"/>
      <w:color w:val="000000"/>
      <w:sz w:val="18"/>
      <w:szCs w:val="18"/>
      <w:lang w:eastAsia="da-DK"/>
    </w:rPr>
  </w:style>
  <w:style w:type="character" w:styleId="Brdtekst2Tegn" w:customStyle="1">
    <w:name w:val="Brødtekst 2 Tegn"/>
    <w:basedOn w:val="DefaultParagraphFont"/>
    <w:link w:val="Brdtekst2"/>
    <w:uiPriority w:val="99"/>
    <w:qFormat/>
    <w:rsid w:val="001439f9"/>
    <w:rPr>
      <w:rFonts w:cs="Times New Roman"/>
      <w:b/>
      <w:sz w:val="24"/>
      <w:szCs w:val="24"/>
    </w:rPr>
  </w:style>
  <w:style w:type="paragraph" w:styleId="Overskrift">
    <w:name w:val="Overskrift"/>
    <w:basedOn w:val="Normal"/>
    <w:next w:val="Brdtekst"/>
    <w:qFormat/>
    <w:pPr>
      <w:keepNext w:val="true"/>
      <w:spacing w:before="240" w:after="120"/>
    </w:pPr>
    <w:rPr>
      <w:rFonts w:ascii="Verdana" w:hAnsi="Verdana" w:eastAsia="Microsoft YaHei" w:cs="Lucida Sans"/>
      <w:sz w:val="28"/>
      <w:szCs w:val="28"/>
    </w:rPr>
  </w:style>
  <w:style w:type="paragraph" w:styleId="Brdtekst">
    <w:name w:val="Body Text"/>
    <w:basedOn w:val="Normal"/>
    <w:link w:val="BrdtekstTegn"/>
    <w:uiPriority w:val="99"/>
    <w:unhideWhenUsed/>
    <w:rsid w:val="00d37a3c"/>
    <w:pPr>
      <w:spacing w:lineRule="auto" w:line="240" w:beforeAutospacing="1" w:afterAutospacing="1"/>
    </w:pPr>
    <w:rPr>
      <w:rFonts w:eastAsia="Times New Roman" w:cs="Times New Roman"/>
      <w:color w:val="000000"/>
      <w:sz w:val="18"/>
      <w:szCs w:val="18"/>
      <w:lang w:eastAsia="da-DK"/>
    </w:rPr>
  </w:style>
  <w:style w:type="paragraph" w:styleId="Liste">
    <w:name w:val="List"/>
    <w:basedOn w:val="Brdtekst"/>
    <w:pPr/>
    <w:rPr>
      <w:rFonts w:ascii="Verdana" w:hAnsi="Verdana" w:cs="Lucida Sans"/>
    </w:rPr>
  </w:style>
  <w:style w:type="paragraph" w:styleId="Billedtekst">
    <w:name w:val="Caption"/>
    <w:basedOn w:val="Normal"/>
    <w:qFormat/>
    <w:pPr>
      <w:suppressLineNumbers/>
      <w:spacing w:before="120" w:after="120"/>
    </w:pPr>
    <w:rPr>
      <w:rFonts w:ascii="Verdana" w:hAnsi="Verdana" w:cs="Lucida Sans"/>
      <w:i/>
      <w:iCs/>
      <w:sz w:val="20"/>
      <w:szCs w:val="24"/>
    </w:rPr>
  </w:style>
  <w:style w:type="paragraph" w:styleId="Indeks">
    <w:name w:val="Indeks"/>
    <w:basedOn w:val="Normal"/>
    <w:qFormat/>
    <w:pPr>
      <w:suppressLineNumbers/>
    </w:pPr>
    <w:rPr>
      <w:rFonts w:ascii="Verdana" w:hAnsi="Verdana" w:cs="Lucida Sans"/>
      <w:lang w:val="zxx" w:eastAsia="zxx" w:bidi="zxx"/>
    </w:rPr>
  </w:style>
  <w:style w:type="paragraph" w:styleId="NoSpacing">
    <w:name w:val="No Spacing"/>
    <w:uiPriority w:val="1"/>
    <w:qFormat/>
    <w:rsid w:val="005f222d"/>
    <w:pPr>
      <w:widowControl/>
      <w:suppressAutoHyphens w:val="true"/>
      <w:bidi w:val="0"/>
      <w:spacing w:lineRule="auto" w:line="240" w:before="0" w:after="0"/>
      <w:jc w:val="left"/>
    </w:pPr>
    <w:rPr>
      <w:rFonts w:ascii="Verdana" w:hAnsi="Verdana" w:eastAsia="Calibri" w:cs="" w:cstheme="minorBidi" w:eastAsiaTheme="minorHAnsi"/>
      <w:color w:val="auto"/>
      <w:kern w:val="0"/>
      <w:sz w:val="20"/>
      <w:szCs w:val="20"/>
      <w:lang w:val="da-DK" w:eastAsia="en-US" w:bidi="ar-SA"/>
    </w:rPr>
  </w:style>
  <w:style w:type="paragraph" w:styleId="NormalWeb">
    <w:name w:val="Normal (Web)"/>
    <w:basedOn w:val="Normal"/>
    <w:uiPriority w:val="99"/>
    <w:unhideWhenUsed/>
    <w:qFormat/>
    <w:rsid w:val="00bf6ad2"/>
    <w:pPr>
      <w:spacing w:lineRule="auto" w:line="276" w:beforeAutospacing="1" w:after="142"/>
    </w:pPr>
    <w:rPr>
      <w:rFonts w:ascii="Times New Roman" w:hAnsi="Times New Roman" w:eastAsia="Times New Roman" w:cs="Times New Roman"/>
      <w:sz w:val="24"/>
      <w:szCs w:val="24"/>
      <w:lang w:eastAsia="da-DK"/>
    </w:rPr>
  </w:style>
  <w:style w:type="paragraph" w:styleId="DefinitionTerm" w:customStyle="1">
    <w:name w:val="Definition Term"/>
    <w:basedOn w:val="Normal"/>
    <w:qFormat/>
    <w:rsid w:val="00bf6ad2"/>
    <w:pPr>
      <w:suppressAutoHyphens w:val="true"/>
      <w:spacing w:lineRule="auto" w:line="240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idehovedogsidefod">
    <w:name w:val="Sidehoved og sidefod"/>
    <w:basedOn w:val="Normal"/>
    <w:qFormat/>
    <w:pPr/>
    <w:rPr/>
  </w:style>
  <w:style w:type="paragraph" w:styleId="Sidehoved">
    <w:name w:val="Header"/>
    <w:basedOn w:val="Normal"/>
    <w:link w:val="SidehovedTegn"/>
    <w:uiPriority w:val="99"/>
    <w:unhideWhenUsed/>
    <w:rsid w:val="00bf6ad2"/>
    <w:pPr>
      <w:tabs>
        <w:tab w:val="clear" w:pos="1304"/>
        <w:tab w:val="center" w:pos="4819" w:leader="none"/>
        <w:tab w:val="right" w:pos="9638" w:leader="none"/>
      </w:tabs>
      <w:spacing w:lineRule="auto" w:line="240"/>
    </w:pPr>
    <w:rPr/>
  </w:style>
  <w:style w:type="paragraph" w:styleId="Sidefod">
    <w:name w:val="Footer"/>
    <w:basedOn w:val="Normal"/>
    <w:link w:val="SidefodTegn"/>
    <w:uiPriority w:val="99"/>
    <w:unhideWhenUsed/>
    <w:rsid w:val="00bf6ad2"/>
    <w:pPr>
      <w:tabs>
        <w:tab w:val="clear" w:pos="1304"/>
        <w:tab w:val="center" w:pos="4819" w:leader="none"/>
        <w:tab w:val="right" w:pos="9638" w:leader="none"/>
      </w:tabs>
      <w:spacing w:lineRule="auto" w:line="240"/>
    </w:pPr>
    <w:rPr/>
  </w:style>
  <w:style w:type="paragraph" w:styleId="ListParagraph">
    <w:name w:val="List Paragraph"/>
    <w:basedOn w:val="Normal"/>
    <w:uiPriority w:val="34"/>
    <w:qFormat/>
    <w:rsid w:val="00e328b9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MarkeringsbobletekstTegn"/>
    <w:uiPriority w:val="99"/>
    <w:unhideWhenUsed/>
    <w:qFormat/>
    <w:rsid w:val="006617dd"/>
    <w:pPr>
      <w:spacing w:lineRule="auto" w:line="240"/>
    </w:pPr>
    <w:rPr>
      <w:rFonts w:ascii="Segoe UI" w:hAnsi="Segoe UI" w:cs="Segoe UI"/>
      <w:sz w:val="18"/>
      <w:szCs w:val="18"/>
    </w:rPr>
  </w:style>
  <w:style w:type="paragraph" w:styleId="BodyText2">
    <w:name w:val="Body Text 2"/>
    <w:basedOn w:val="Normal"/>
    <w:link w:val="Brdtekst2Tegn"/>
    <w:uiPriority w:val="99"/>
    <w:unhideWhenUsed/>
    <w:qFormat/>
    <w:rsid w:val="001439f9"/>
    <w:pPr>
      <w:spacing w:lineRule="auto" w:line="240"/>
      <w:jc w:val="center"/>
    </w:pPr>
    <w:rPr>
      <w:rFonts w:cs="Times New Roman"/>
      <w:b/>
      <w:sz w:val="24"/>
      <w:szCs w:val="24"/>
    </w:rPr>
  </w:style>
  <w:style w:type="paragraph" w:styleId="NormalTable">
    <w:name w:val="Normal Table"/>
    <w:qFormat/>
    <w:pPr>
      <w:widowControl/>
      <w:suppressAutoHyphens w:val="true"/>
      <w:bidi w:val="0"/>
      <w:spacing w:lineRule="auto" w:line="259" w:before="0" w:after="160"/>
      <w:jc w:val="left"/>
      <w:textAlignment w:val="auto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da-DK" w:eastAsia="da-DK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-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-Gitter">
    <w:name w:val="Table Grid"/>
    <w:basedOn w:val="Tabel-Normal"/>
    <w:uiPriority w:val="39"/>
    <w:rsid w:val="00bf6ad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778818-7897-4EC9-989F-6C88E87DE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LibreOffice/7.2.5.2$Windows_X86_64 LibreOffice_project/499f9727c189e6ef3471021d6132d4c694f357e5</Application>
  <AppVersion>15.0000</AppVersion>
  <Pages>1</Pages>
  <Words>247</Words>
  <Characters>1625</Characters>
  <CharactersWithSpaces>1805</CharactersWithSpaces>
  <Paragraphs>69</Paragraphs>
  <Company>Region Midtjylland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2022-12-14T09:40:00Z</dcterms:created>
  <dc:creator>Ulla Kloster</dc:creator>
  <dc:description/>
  <dc:language>da-DK</dc:language>
  <cp:lastModifiedBy/>
  <cp:lastPrinted>2023-06-28T11:38:47Z</cp:lastPrinted>
  <dcterms:modified xsi:type="dcterms:W3CDTF">2023-07-03T13:06:14Z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